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98"/>
        <w:gridCol w:w="3071"/>
      </w:tblGrid>
      <w:tr w:rsidR="006611C4" w:rsidTr="00527194">
        <w:tc>
          <w:tcPr>
            <w:tcW w:w="2943" w:type="dxa"/>
            <w:shd w:val="clear" w:color="auto" w:fill="auto"/>
          </w:tcPr>
          <w:p w:rsidR="006611C4" w:rsidRDefault="006611C4" w:rsidP="006611C4">
            <w:pPr>
              <w:rPr>
                <w:lang w:eastAsia="is-IS"/>
              </w:rPr>
            </w:pPr>
            <w:r>
              <w:rPr>
                <w:rFonts w:eastAsia="Times New Roman"/>
                <w:noProof/>
                <w:lang w:eastAsia="is-IS"/>
              </w:rPr>
              <w:drawing>
                <wp:inline distT="0" distB="0" distL="0" distR="0">
                  <wp:extent cx="1035800" cy="1038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eppavinafelagi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99" cy="103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:rsidR="006611C4" w:rsidRPr="006611C4" w:rsidRDefault="006611C4" w:rsidP="006611C4">
            <w:pPr>
              <w:jc w:val="center"/>
              <w:rPr>
                <w:sz w:val="32"/>
                <w:szCs w:val="32"/>
                <w:lang w:eastAsia="is-IS"/>
              </w:rPr>
            </w:pPr>
            <w:r w:rsidRPr="006611C4">
              <w:rPr>
                <w:rFonts w:eastAsia="Times New Roman"/>
                <w:sz w:val="32"/>
                <w:szCs w:val="32"/>
                <w:lang w:eastAsia="is-IS"/>
              </w:rPr>
              <w:t xml:space="preserve">Reglur um </w:t>
            </w:r>
            <w:r w:rsidRPr="006611C4">
              <w:rPr>
                <w:sz w:val="32"/>
                <w:szCs w:val="32"/>
              </w:rPr>
              <w:t>Þorrablót</w:t>
            </w:r>
            <w:r w:rsidRPr="006611C4">
              <w:rPr>
                <w:rFonts w:eastAsia="Times New Roman"/>
                <w:sz w:val="32"/>
                <w:szCs w:val="32"/>
                <w:lang w:eastAsia="is-IS"/>
              </w:rPr>
              <w:t>.</w:t>
            </w:r>
          </w:p>
        </w:tc>
        <w:tc>
          <w:tcPr>
            <w:tcW w:w="3071" w:type="dxa"/>
          </w:tcPr>
          <w:p w:rsidR="006611C4" w:rsidRDefault="006611C4" w:rsidP="006611C4">
            <w:pPr>
              <w:jc w:val="right"/>
              <w:rPr>
                <w:lang w:eastAsia="is-IS"/>
              </w:rPr>
            </w:pPr>
            <w:r>
              <w:rPr>
                <w:rFonts w:eastAsia="Times New Roman"/>
                <w:noProof/>
                <w:lang w:eastAsia="is-IS"/>
              </w:rPr>
              <w:drawing>
                <wp:inline distT="0" distB="0" distL="0" distR="0">
                  <wp:extent cx="714375" cy="10645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4x4_a4_Suðurnesjadeil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69" cy="115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41" w:rightFromText="141" w:vertAnchor="text" w:horzAnchor="margin" w:tblpY="174"/>
        <w:tblW w:w="0" w:type="auto"/>
        <w:tblLook w:val="04A0"/>
      </w:tblPr>
      <w:tblGrid>
        <w:gridCol w:w="675"/>
        <w:gridCol w:w="8537"/>
      </w:tblGrid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 xml:space="preserve">Þorrablótsnefnd skal kosinn á Aðalfundi. Nefndin skal sjálf kjósa sér formann og tilkynna kjör hans til stjórnar. Segi maður sig úr nefnd, eða ef ekki næst að fullmanna nefnd á aðalfundi, skulu sitjandi nefndarmenn gera tillögur um staðgengil, sem mun starfa með nefndinni fram að næsta aðalfundi. Tillagan skal send stjórn félagsins, sem tekur ákvörðun um skipun staðgengils á stjórnarfundi. 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527194" w:rsidRPr="007A00F0" w:rsidRDefault="00527194" w:rsidP="00F47B38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Félagsmaður telst  vera gr</w:t>
            </w:r>
            <w:r w:rsidR="00F47B38">
              <w:rPr>
                <w:sz w:val="24"/>
                <w:szCs w:val="24"/>
              </w:rPr>
              <w:t>eiddur félagi, maki hans og börn</w:t>
            </w:r>
            <w:r w:rsidRPr="007A00F0">
              <w:rPr>
                <w:sz w:val="24"/>
                <w:szCs w:val="24"/>
              </w:rPr>
              <w:t>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Hver félagsmaður má skrá einn gest. Bannað verður að taka með borgandi túrista.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4.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Skráning skal fara fram á skráningarsíðu félagsins svo að allir geta fengið aðgang að þeim og skal það auglýst hvenær skráning hefst.</w:t>
            </w:r>
          </w:p>
          <w:p w:rsidR="007A00F0" w:rsidRPr="007A00F0" w:rsidRDefault="007A00F0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Skal skráning fara þannig fram að allir sitji við sama borð með jafnan rétt á skráningu.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5.</w:t>
            </w:r>
          </w:p>
        </w:tc>
        <w:tc>
          <w:tcPr>
            <w:tcW w:w="8537" w:type="dxa"/>
            <w:shd w:val="clear" w:color="auto" w:fill="FFFFFF" w:themeFill="background1"/>
          </w:tcPr>
          <w:p w:rsidR="00527194" w:rsidRPr="007A00F0" w:rsidRDefault="007B23AD" w:rsidP="00A54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Þorrablótsnefnd má auglýsa </w:t>
            </w:r>
            <w:r w:rsidR="00527194" w:rsidRPr="007A00F0">
              <w:rPr>
                <w:sz w:val="24"/>
                <w:szCs w:val="24"/>
              </w:rPr>
              <w:t>laus pláss eftir að forskráningu lýkur svo lengi sem að skálarúm leyfir.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Ekki verður hægt að fá s</w:t>
            </w:r>
            <w:r w:rsidR="00E81E41" w:rsidRPr="007A00F0">
              <w:rPr>
                <w:sz w:val="24"/>
                <w:szCs w:val="24"/>
              </w:rPr>
              <w:t xml:space="preserve">taðfestingargjald endurgreitt, </w:t>
            </w:r>
            <w:r w:rsidRPr="007A00F0">
              <w:rPr>
                <w:sz w:val="24"/>
                <w:szCs w:val="24"/>
              </w:rPr>
              <w:t>en mögulegt að fá endurgreiddan mat ef afpantað er með viku fyrirvara og um óviðráðanlegar aðstæður er að ræða t.d. alvarleg veikindi, veður telst ekki þar með.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7.</w:t>
            </w:r>
          </w:p>
        </w:tc>
        <w:tc>
          <w:tcPr>
            <w:tcW w:w="8537" w:type="dxa"/>
          </w:tcPr>
          <w:p w:rsidR="00527194" w:rsidRPr="007A00F0" w:rsidRDefault="00F076B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 xml:space="preserve">Blót skal vera </w:t>
            </w:r>
            <w:r w:rsidR="00527194" w:rsidRPr="007A00F0">
              <w:rPr>
                <w:sz w:val="24"/>
                <w:szCs w:val="24"/>
              </w:rPr>
              <w:t>fjölskyldu væn samkoma.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8.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Í skálum viðgangast hefðbundnar umgengisreglur  t.d. að það sé komin ró á í svefnrými um miðnætti þó menn haldi áfram að spjalla í opnu rými og sýni öðrum sem gegnir eru til náða fulla tillitssemi.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9.</w:t>
            </w:r>
          </w:p>
        </w:tc>
        <w:tc>
          <w:tcPr>
            <w:tcW w:w="8537" w:type="dxa"/>
          </w:tcPr>
          <w:p w:rsidR="00527194" w:rsidRPr="007A00F0" w:rsidRDefault="00527194" w:rsidP="005E40E3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 xml:space="preserve">Þorrablótsnefnd getur úthlutað mönnum svefnpláss eftir óskum eða þörfum séu skálamál þannig </w:t>
            </w:r>
            <w:r w:rsidR="00F076B4" w:rsidRPr="007A00F0">
              <w:rPr>
                <w:sz w:val="24"/>
                <w:szCs w:val="24"/>
              </w:rPr>
              <w:t xml:space="preserve">um </w:t>
            </w:r>
            <w:r w:rsidRPr="007A00F0">
              <w:rPr>
                <w:sz w:val="24"/>
                <w:szCs w:val="24"/>
              </w:rPr>
              <w:t>búið.</w:t>
            </w:r>
            <w:r w:rsidR="00F076B4" w:rsidRPr="007A00F0">
              <w:rPr>
                <w:sz w:val="24"/>
                <w:szCs w:val="24"/>
              </w:rPr>
              <w:t xml:space="preserve"> Ska</w:t>
            </w:r>
            <w:r w:rsidRPr="007A00F0">
              <w:rPr>
                <w:sz w:val="24"/>
                <w:szCs w:val="24"/>
              </w:rPr>
              <w:t>l það auglýst þegar skráning hefst hvernig gistiplássum er skift hvað varðar fjölda.</w:t>
            </w:r>
            <w:r w:rsidR="00F47B38">
              <w:rPr>
                <w:sz w:val="24"/>
                <w:szCs w:val="24"/>
              </w:rPr>
              <w:t xml:space="preserve"> </w:t>
            </w:r>
            <w:r w:rsidR="005E40E3" w:rsidRPr="007A00F0">
              <w:rPr>
                <w:sz w:val="24"/>
                <w:szCs w:val="24"/>
              </w:rPr>
              <w:t>Skulu félagsmenn koma</w:t>
            </w:r>
            <w:r w:rsidR="00E81E41" w:rsidRPr="007A00F0">
              <w:rPr>
                <w:sz w:val="24"/>
                <w:szCs w:val="24"/>
              </w:rPr>
              <w:t xml:space="preserve"> óskum á framfæri</w:t>
            </w:r>
            <w:r w:rsidR="00F076B4" w:rsidRPr="007A00F0">
              <w:rPr>
                <w:sz w:val="24"/>
                <w:szCs w:val="24"/>
              </w:rPr>
              <w:t xml:space="preserve"> til nefndar</w:t>
            </w:r>
            <w:r w:rsidR="00E81E41" w:rsidRPr="007A00F0">
              <w:rPr>
                <w:sz w:val="24"/>
                <w:szCs w:val="24"/>
              </w:rPr>
              <w:t xml:space="preserve"> áður en skráningu lýkur.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10.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Allir hjálpast til við að gera skála kláran fyrir blót og við frágang áður en skáli er yfirgefinn, og hefur þorrablótsnefnd leyfi til að skipa menn í mismunandi vinnuhópa svo vinnan lendi ekki öll á sömu mönnunum.</w:t>
            </w:r>
            <w:r w:rsidR="007A00F0" w:rsidRPr="007A00F0">
              <w:rPr>
                <w:sz w:val="24"/>
                <w:szCs w:val="24"/>
              </w:rPr>
              <w:t xml:space="preserve"> Skal sú skipan vera auglýst og ganga jafnt á alla menn.</w:t>
            </w:r>
            <w:r w:rsidR="00E81E41" w:rsidRPr="007A00F0">
              <w:rPr>
                <w:sz w:val="24"/>
                <w:szCs w:val="24"/>
              </w:rPr>
              <w:t xml:space="preserve"> Engin skal yfirgefa skálann fyrr en frágangi er lokið.</w:t>
            </w:r>
          </w:p>
        </w:tc>
      </w:tr>
      <w:tr w:rsidR="00527194" w:rsidTr="00A54FFD"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11.</w:t>
            </w:r>
          </w:p>
        </w:tc>
        <w:tc>
          <w:tcPr>
            <w:tcW w:w="8537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Ef upp koma vandamál skulu menn hlíta Þorrablótsnefnd og ef blótsgestir eru með leiðindi og fara ekki að tilmæ</w:t>
            </w:r>
            <w:bookmarkStart w:id="0" w:name="_GoBack"/>
            <w:bookmarkEnd w:id="0"/>
            <w:r w:rsidRPr="007A00F0">
              <w:rPr>
                <w:sz w:val="24"/>
                <w:szCs w:val="24"/>
              </w:rPr>
              <w:t>lum eða sýna af sér ósæmilega hegðun er hægt að útiloka þau frá þátttöku í viðburðum félagsins í styttri eða lengri tíma. Eiga menn þá rétt á að skjóta máli sínu til Aðalfundar og getur Aðalfundur einn vísað frá ákvörðun Þorrablótsnefndar eða Stjórnar.</w:t>
            </w:r>
          </w:p>
        </w:tc>
      </w:tr>
      <w:tr w:rsidR="00527194" w:rsidTr="00F82F6A">
        <w:trPr>
          <w:trHeight w:val="579"/>
        </w:trPr>
        <w:tc>
          <w:tcPr>
            <w:tcW w:w="675" w:type="dxa"/>
          </w:tcPr>
          <w:p w:rsidR="00527194" w:rsidRPr="007A00F0" w:rsidRDefault="00527194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12.</w:t>
            </w:r>
          </w:p>
        </w:tc>
        <w:tc>
          <w:tcPr>
            <w:tcW w:w="8537" w:type="dxa"/>
          </w:tcPr>
          <w:p w:rsidR="00527194" w:rsidRPr="007A00F0" w:rsidRDefault="007A00F0" w:rsidP="00A54FFD">
            <w:pPr>
              <w:rPr>
                <w:sz w:val="24"/>
                <w:szCs w:val="24"/>
              </w:rPr>
            </w:pPr>
            <w:r w:rsidRPr="007A00F0">
              <w:rPr>
                <w:sz w:val="24"/>
                <w:szCs w:val="24"/>
              </w:rPr>
              <w:t>Þorrablót er skemmtiferð og er skilda allra félaga að sjá til að allir þeir sem sækja blótið njóti sín sem best.</w:t>
            </w:r>
          </w:p>
        </w:tc>
      </w:tr>
    </w:tbl>
    <w:p w:rsidR="00527194" w:rsidRDefault="00527194" w:rsidP="00FB7AD3"/>
    <w:sectPr w:rsidR="00527194" w:rsidSect="0039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C52"/>
    <w:multiLevelType w:val="hybridMultilevel"/>
    <w:tmpl w:val="CA44447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97B"/>
    <w:multiLevelType w:val="hybridMultilevel"/>
    <w:tmpl w:val="713CAB9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804"/>
    <w:rsid w:val="000A4B6D"/>
    <w:rsid w:val="000A6E25"/>
    <w:rsid w:val="00123E7E"/>
    <w:rsid w:val="001755A4"/>
    <w:rsid w:val="00196680"/>
    <w:rsid w:val="001E101B"/>
    <w:rsid w:val="001F7FB4"/>
    <w:rsid w:val="00230E78"/>
    <w:rsid w:val="002C247E"/>
    <w:rsid w:val="002E217D"/>
    <w:rsid w:val="002E6E13"/>
    <w:rsid w:val="00335B78"/>
    <w:rsid w:val="00380083"/>
    <w:rsid w:val="00393FB0"/>
    <w:rsid w:val="003D6419"/>
    <w:rsid w:val="0045677C"/>
    <w:rsid w:val="00482752"/>
    <w:rsid w:val="00494427"/>
    <w:rsid w:val="005006BE"/>
    <w:rsid w:val="00527194"/>
    <w:rsid w:val="00544217"/>
    <w:rsid w:val="00570708"/>
    <w:rsid w:val="00574BF2"/>
    <w:rsid w:val="005A331D"/>
    <w:rsid w:val="005A6770"/>
    <w:rsid w:val="005C64A6"/>
    <w:rsid w:val="005D25CF"/>
    <w:rsid w:val="005E00E6"/>
    <w:rsid w:val="005E40E3"/>
    <w:rsid w:val="006002D6"/>
    <w:rsid w:val="00625CD1"/>
    <w:rsid w:val="00640EF5"/>
    <w:rsid w:val="006611C4"/>
    <w:rsid w:val="00665A74"/>
    <w:rsid w:val="006D4EC0"/>
    <w:rsid w:val="0070571A"/>
    <w:rsid w:val="0072615A"/>
    <w:rsid w:val="00736804"/>
    <w:rsid w:val="007508A4"/>
    <w:rsid w:val="007A00F0"/>
    <w:rsid w:val="007B23AD"/>
    <w:rsid w:val="007C0EFB"/>
    <w:rsid w:val="0083418E"/>
    <w:rsid w:val="0085649A"/>
    <w:rsid w:val="00866C81"/>
    <w:rsid w:val="00897CEA"/>
    <w:rsid w:val="008A76F6"/>
    <w:rsid w:val="00970FF6"/>
    <w:rsid w:val="00985FFA"/>
    <w:rsid w:val="009B45B7"/>
    <w:rsid w:val="009B53F8"/>
    <w:rsid w:val="009D0E12"/>
    <w:rsid w:val="009D1283"/>
    <w:rsid w:val="009F5A2E"/>
    <w:rsid w:val="00A102BD"/>
    <w:rsid w:val="00A4488C"/>
    <w:rsid w:val="00A54FFD"/>
    <w:rsid w:val="00AD6B17"/>
    <w:rsid w:val="00B04183"/>
    <w:rsid w:val="00C700D0"/>
    <w:rsid w:val="00C851B6"/>
    <w:rsid w:val="00CC3C0E"/>
    <w:rsid w:val="00D23705"/>
    <w:rsid w:val="00D379F5"/>
    <w:rsid w:val="00DD0740"/>
    <w:rsid w:val="00DD075C"/>
    <w:rsid w:val="00E61A01"/>
    <w:rsid w:val="00E651C7"/>
    <w:rsid w:val="00E65A90"/>
    <w:rsid w:val="00E81E15"/>
    <w:rsid w:val="00E81E41"/>
    <w:rsid w:val="00F076B4"/>
    <w:rsid w:val="00F47B38"/>
    <w:rsid w:val="00F639E6"/>
    <w:rsid w:val="00F82F6A"/>
    <w:rsid w:val="00F967F3"/>
    <w:rsid w:val="00FB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4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6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07CE-F043-4F13-BC09-3691B706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Björg</dc:creator>
  <cp:lastModifiedBy>Matti</cp:lastModifiedBy>
  <cp:revision>33</cp:revision>
  <dcterms:created xsi:type="dcterms:W3CDTF">2014-06-16T23:59:00Z</dcterms:created>
  <dcterms:modified xsi:type="dcterms:W3CDTF">2014-09-01T09:24:00Z</dcterms:modified>
</cp:coreProperties>
</file>